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1F7D">
        <w:rPr>
          <w:rFonts w:eastAsia="Times New Roman"/>
          <w:sz w:val="28"/>
          <w:szCs w:val="28"/>
        </w:rPr>
        <w:t>30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673</w:t>
      </w:r>
      <w:r w:rsidR="00C01F7D">
        <w:rPr>
          <w:sz w:val="28"/>
          <w:szCs w:val="28"/>
        </w:rPr>
        <w:t>6</w:t>
      </w:r>
      <w:r w:rsidR="00412B0B">
        <w:rPr>
          <w:sz w:val="28"/>
          <w:szCs w:val="28"/>
        </w:rPr>
        <w:t>-</w:t>
      </w:r>
      <w:r w:rsidR="00F06742">
        <w:rPr>
          <w:sz w:val="28"/>
          <w:szCs w:val="28"/>
        </w:rPr>
        <w:t>5</w:t>
      </w:r>
      <w:r w:rsidR="00C01F7D">
        <w:rPr>
          <w:sz w:val="28"/>
          <w:szCs w:val="28"/>
        </w:rPr>
        <w:t>6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ED5704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>на основании постановления № 5-</w:t>
      </w:r>
      <w:r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039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0039/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ED57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5704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C123-E9F0-4F10-AEA0-42619BBC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